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57A" w:rsidRDefault="00EA78E5">
      <w:pPr>
        <w:spacing w:after="0" w:line="259" w:lineRule="auto"/>
        <w:ind w:left="0" w:firstLine="0"/>
      </w:pPr>
      <w:r>
        <w:rPr>
          <w:color w:val="ABABAB"/>
        </w:rPr>
        <w:t>FUND MANAGERS</w:t>
      </w:r>
    </w:p>
    <w:p w:rsidR="00E2557A" w:rsidRDefault="00EA78E5">
      <w:pPr>
        <w:spacing w:after="57" w:line="259" w:lineRule="auto"/>
        <w:ind w:left="-150" w:right="-174" w:firstLine="0"/>
      </w:pPr>
      <w:r>
        <w:rPr>
          <w:noProof/>
          <w:color w:val="000000"/>
          <w:sz w:val="22"/>
        </w:rPr>
        <mc:AlternateContent>
          <mc:Choice Requires="wpg">
            <w:drawing>
              <wp:inline distT="0" distB="0" distL="0" distR="0">
                <wp:extent cx="6832600" cy="9529"/>
                <wp:effectExtent l="0" t="0" r="0" b="0"/>
                <wp:docPr id="2197" name="Group 2197"/>
                <wp:cNvGraphicFramePr/>
                <a:graphic xmlns:a="http://schemas.openxmlformats.org/drawingml/2006/main">
                  <a:graphicData uri="http://schemas.microsoft.com/office/word/2010/wordprocessingGroup">
                    <wpg:wgp>
                      <wpg:cNvGrpSpPr/>
                      <wpg:grpSpPr>
                        <a:xfrm>
                          <a:off x="0" y="0"/>
                          <a:ext cx="6832600" cy="9529"/>
                          <a:chOff x="0" y="0"/>
                          <a:chExt cx="6832600" cy="9529"/>
                        </a:xfrm>
                      </wpg:grpSpPr>
                      <wps:wsp>
                        <wps:cNvPr id="2480" name="Shape 2480"/>
                        <wps:cNvSpPr/>
                        <wps:spPr>
                          <a:xfrm>
                            <a:off x="0" y="0"/>
                            <a:ext cx="6832600" cy="9529"/>
                          </a:xfrm>
                          <a:custGeom>
                            <a:avLst/>
                            <a:gdLst/>
                            <a:ahLst/>
                            <a:cxnLst/>
                            <a:rect l="0" t="0" r="0" b="0"/>
                            <a:pathLst>
                              <a:path w="6832600" h="9529">
                                <a:moveTo>
                                  <a:pt x="0" y="0"/>
                                </a:moveTo>
                                <a:lnTo>
                                  <a:pt x="6832600" y="0"/>
                                </a:lnTo>
                                <a:lnTo>
                                  <a:pt x="6832600" y="9529"/>
                                </a:lnTo>
                                <a:lnTo>
                                  <a:pt x="0" y="9529"/>
                                </a:lnTo>
                                <a:lnTo>
                                  <a:pt x="0" y="0"/>
                                </a:lnTo>
                              </a:path>
                            </a:pathLst>
                          </a:custGeom>
                          <a:ln w="0" cap="flat">
                            <a:miter lim="100000"/>
                          </a:ln>
                        </wps:spPr>
                        <wps:style>
                          <a:lnRef idx="0">
                            <a:srgbClr val="000000">
                              <a:alpha val="0"/>
                            </a:srgbClr>
                          </a:lnRef>
                          <a:fillRef idx="1">
                            <a:srgbClr val="EAEAEA"/>
                          </a:fillRef>
                          <a:effectRef idx="0">
                            <a:scrgbClr r="0" g="0" b="0"/>
                          </a:effectRef>
                          <a:fontRef idx="none"/>
                        </wps:style>
                        <wps:bodyPr/>
                      </wps:wsp>
                    </wpg:wgp>
                  </a:graphicData>
                </a:graphic>
              </wp:inline>
            </w:drawing>
          </mc:Choice>
          <mc:Fallback xmlns:a="http://schemas.openxmlformats.org/drawingml/2006/main">
            <w:pict>
              <v:group id="Group 2197" style="width:538pt;height:0.750336pt;mso-position-horizontal-relative:char;mso-position-vertical-relative:line" coordsize="68326,95">
                <v:shape id="Shape 2481" style="position:absolute;width:68326;height:95;left:0;top:0;" coordsize="6832600,9529" path="m0,0l6832600,0l6832600,9529l0,9529l0,0">
                  <v:stroke weight="0pt" endcap="flat" joinstyle="miter" miterlimit="4" on="false" color="#000000" opacity="0"/>
                  <v:fill on="true" color="#eaeaea"/>
                </v:shape>
              </v:group>
            </w:pict>
          </mc:Fallback>
        </mc:AlternateContent>
      </w:r>
    </w:p>
    <w:p w:rsidR="00E2557A" w:rsidRDefault="00EA78E5">
      <w:pPr>
        <w:ind w:left="-5"/>
      </w:pPr>
      <w:proofErr w:type="gramStart"/>
      <w:r>
        <w:t>by</w:t>
      </w:r>
      <w:proofErr w:type="gramEnd"/>
      <w:r>
        <w:t xml:space="preserve"> Joe Marsh </w:t>
      </w:r>
      <w:r>
        <w:rPr>
          <w:color w:val="474747"/>
          <w:sz w:val="27"/>
        </w:rPr>
        <w:t xml:space="preserve">| </w:t>
      </w:r>
      <w:r>
        <w:rPr>
          <w:color w:val="474747"/>
        </w:rPr>
        <w:t>1 day ago</w:t>
      </w:r>
    </w:p>
    <w:p w:rsidR="00E2557A" w:rsidRDefault="00EA78E5">
      <w:pPr>
        <w:pStyle w:val="Heading1"/>
      </w:pPr>
      <w:r>
        <w:t>Warning sounded on credit fund concentration risks</w:t>
      </w:r>
    </w:p>
    <w:p w:rsidR="00E2557A" w:rsidRDefault="00EA78E5">
      <w:pPr>
        <w:spacing w:after="108" w:line="240" w:lineRule="auto"/>
        <w:ind w:left="0" w:firstLine="0"/>
      </w:pPr>
      <w:r>
        <w:rPr>
          <w:sz w:val="27"/>
        </w:rPr>
        <w:t>Allocations to funds based on corporate bond indexes raise issues that investors seem unaware of, such as US high yield's correlation to the oil price, according to new research.</w:t>
      </w:r>
    </w:p>
    <w:p w:rsidR="00E2557A" w:rsidRDefault="00EA78E5">
      <w:pPr>
        <w:spacing w:after="0" w:line="259" w:lineRule="auto"/>
        <w:ind w:left="3534" w:firstLine="0"/>
      </w:pPr>
      <w:r>
        <w:rPr>
          <w:noProof/>
          <w:color w:val="000000"/>
          <w:sz w:val="22"/>
        </w:rPr>
        <mc:AlternateContent>
          <mc:Choice Requires="wpg">
            <w:drawing>
              <wp:inline distT="0" distB="0" distL="0" distR="0">
                <wp:extent cx="2153651" cy="516377"/>
                <wp:effectExtent l="0" t="0" r="0" b="0"/>
                <wp:docPr id="2199" name="Group 2199"/>
                <wp:cNvGraphicFramePr/>
                <a:graphic xmlns:a="http://schemas.openxmlformats.org/drawingml/2006/main">
                  <a:graphicData uri="http://schemas.microsoft.com/office/word/2010/wordprocessingGroup">
                    <wpg:wgp>
                      <wpg:cNvGrpSpPr/>
                      <wpg:grpSpPr>
                        <a:xfrm>
                          <a:off x="0" y="0"/>
                          <a:ext cx="2153651" cy="516377"/>
                          <a:chOff x="0" y="0"/>
                          <a:chExt cx="2153651" cy="516377"/>
                        </a:xfrm>
                      </wpg:grpSpPr>
                      <wps:wsp>
                        <wps:cNvPr id="31" name="Rectangle 31"/>
                        <wps:cNvSpPr/>
                        <wps:spPr>
                          <a:xfrm>
                            <a:off x="493297" y="308739"/>
                            <a:ext cx="52677" cy="276158"/>
                          </a:xfrm>
                          <a:prstGeom prst="rect">
                            <a:avLst/>
                          </a:prstGeom>
                          <a:ln>
                            <a:noFill/>
                          </a:ln>
                        </wps:spPr>
                        <wps:txbx>
                          <w:txbxContent>
                            <w:p w:rsidR="00E2557A" w:rsidRDefault="00EA78E5">
                              <w:pPr>
                                <w:spacing w:after="160" w:line="259" w:lineRule="auto"/>
                                <w:ind w:left="0" w:firstLine="0"/>
                              </w:pPr>
                              <w:r>
                                <w:t xml:space="preserve"> </w:t>
                              </w:r>
                            </w:p>
                          </w:txbxContent>
                        </wps:txbx>
                        <wps:bodyPr horzOverflow="overflow" vert="horz" lIns="0" tIns="0" rIns="0" bIns="0" rtlCol="0">
                          <a:noAutofit/>
                        </wps:bodyPr>
                      </wps:wsp>
                      <wps:wsp>
                        <wps:cNvPr id="32" name="Rectangle 32"/>
                        <wps:cNvSpPr/>
                        <wps:spPr>
                          <a:xfrm>
                            <a:off x="1057022" y="308739"/>
                            <a:ext cx="52677" cy="276158"/>
                          </a:xfrm>
                          <a:prstGeom prst="rect">
                            <a:avLst/>
                          </a:prstGeom>
                          <a:ln>
                            <a:noFill/>
                          </a:ln>
                        </wps:spPr>
                        <wps:txbx>
                          <w:txbxContent>
                            <w:p w:rsidR="00E2557A" w:rsidRDefault="00EA78E5">
                              <w:pPr>
                                <w:spacing w:after="160" w:line="259" w:lineRule="auto"/>
                                <w:ind w:left="0" w:firstLine="0"/>
                              </w:pPr>
                              <w:r>
                                <w:t xml:space="preserve"> </w:t>
                              </w:r>
                            </w:p>
                          </w:txbxContent>
                        </wps:txbx>
                        <wps:bodyPr horzOverflow="overflow" vert="horz" lIns="0" tIns="0" rIns="0" bIns="0" rtlCol="0">
                          <a:noAutofit/>
                        </wps:bodyPr>
                      </wps:wsp>
                      <wps:wsp>
                        <wps:cNvPr id="33" name="Rectangle 33"/>
                        <wps:cNvSpPr/>
                        <wps:spPr>
                          <a:xfrm>
                            <a:off x="1620747" y="308739"/>
                            <a:ext cx="52677" cy="276158"/>
                          </a:xfrm>
                          <a:prstGeom prst="rect">
                            <a:avLst/>
                          </a:prstGeom>
                          <a:ln>
                            <a:noFill/>
                          </a:ln>
                        </wps:spPr>
                        <wps:txbx>
                          <w:txbxContent>
                            <w:p w:rsidR="00E2557A" w:rsidRDefault="00EA78E5">
                              <w:pPr>
                                <w:spacing w:after="160" w:line="259" w:lineRule="auto"/>
                                <w:ind w:left="0" w:firstLine="0"/>
                              </w:pPr>
                              <w:r>
                                <w:t xml:space="preserve"> </w:t>
                              </w:r>
                            </w:p>
                          </w:txbxContent>
                        </wps:txbx>
                        <wps:bodyPr horzOverflow="overflow" vert="horz" lIns="0" tIns="0" rIns="0" bIns="0" rtlCol="0">
                          <a:noAutofit/>
                        </wps:bodyPr>
                      </wps:wsp>
                      <wps:wsp>
                        <wps:cNvPr id="40" name="Shape 40"/>
                        <wps:cNvSpPr/>
                        <wps:spPr>
                          <a:xfrm>
                            <a:off x="0" y="0"/>
                            <a:ext cx="466942" cy="466942"/>
                          </a:xfrm>
                          <a:custGeom>
                            <a:avLst/>
                            <a:gdLst/>
                            <a:ahLst/>
                            <a:cxnLst/>
                            <a:rect l="0" t="0" r="0" b="0"/>
                            <a:pathLst>
                              <a:path w="466942" h="466942">
                                <a:moveTo>
                                  <a:pt x="466942" y="233471"/>
                                </a:moveTo>
                                <a:cubicBezTo>
                                  <a:pt x="466942" y="264430"/>
                                  <a:pt x="461018" y="294212"/>
                                  <a:pt x="449170" y="322815"/>
                                </a:cubicBezTo>
                                <a:cubicBezTo>
                                  <a:pt x="437322" y="351419"/>
                                  <a:pt x="420452" y="376667"/>
                                  <a:pt x="398560" y="398559"/>
                                </a:cubicBezTo>
                                <a:cubicBezTo>
                                  <a:pt x="376668" y="420452"/>
                                  <a:pt x="351420" y="437321"/>
                                  <a:pt x="322816" y="449169"/>
                                </a:cubicBezTo>
                                <a:cubicBezTo>
                                  <a:pt x="294213" y="461018"/>
                                  <a:pt x="264431" y="466941"/>
                                  <a:pt x="233471" y="466942"/>
                                </a:cubicBezTo>
                                <a:cubicBezTo>
                                  <a:pt x="202511" y="466941"/>
                                  <a:pt x="172729" y="461018"/>
                                  <a:pt x="144126" y="449169"/>
                                </a:cubicBezTo>
                                <a:cubicBezTo>
                                  <a:pt x="115522" y="437321"/>
                                  <a:pt x="90274" y="420452"/>
                                  <a:pt x="68382" y="398559"/>
                                </a:cubicBezTo>
                                <a:cubicBezTo>
                                  <a:pt x="46490" y="376667"/>
                                  <a:pt x="29620" y="351419"/>
                                  <a:pt x="17772" y="322815"/>
                                </a:cubicBezTo>
                                <a:cubicBezTo>
                                  <a:pt x="5924" y="294212"/>
                                  <a:pt x="0" y="264430"/>
                                  <a:pt x="0" y="233471"/>
                                </a:cubicBezTo>
                                <a:cubicBezTo>
                                  <a:pt x="0" y="202510"/>
                                  <a:pt x="5924" y="172727"/>
                                  <a:pt x="17772" y="144124"/>
                                </a:cubicBezTo>
                                <a:cubicBezTo>
                                  <a:pt x="29620" y="115520"/>
                                  <a:pt x="46490" y="90273"/>
                                  <a:pt x="68382" y="68381"/>
                                </a:cubicBezTo>
                                <a:cubicBezTo>
                                  <a:pt x="90274" y="46489"/>
                                  <a:pt x="115522" y="29618"/>
                                  <a:pt x="144126" y="17771"/>
                                </a:cubicBezTo>
                                <a:cubicBezTo>
                                  <a:pt x="172729" y="5924"/>
                                  <a:pt x="202511" y="0"/>
                                  <a:pt x="233471" y="0"/>
                                </a:cubicBezTo>
                                <a:cubicBezTo>
                                  <a:pt x="264431" y="0"/>
                                  <a:pt x="294213" y="5924"/>
                                  <a:pt x="322816" y="17771"/>
                                </a:cubicBezTo>
                                <a:cubicBezTo>
                                  <a:pt x="351420" y="29618"/>
                                  <a:pt x="376668" y="46489"/>
                                  <a:pt x="398560" y="68381"/>
                                </a:cubicBezTo>
                                <a:cubicBezTo>
                                  <a:pt x="420452" y="90273"/>
                                  <a:pt x="437322" y="115520"/>
                                  <a:pt x="449170" y="144124"/>
                                </a:cubicBezTo>
                                <a:cubicBezTo>
                                  <a:pt x="461018" y="172727"/>
                                  <a:pt x="466942" y="202510"/>
                                  <a:pt x="466942" y="233471"/>
                                </a:cubicBezTo>
                                <a:close/>
                              </a:path>
                            </a:pathLst>
                          </a:custGeom>
                          <a:ln w="9529" cap="flat">
                            <a:miter lim="100000"/>
                          </a:ln>
                        </wps:spPr>
                        <wps:style>
                          <a:lnRef idx="1">
                            <a:srgbClr val="3C3C3C"/>
                          </a:lnRef>
                          <a:fillRef idx="0">
                            <a:srgbClr val="000000">
                              <a:alpha val="0"/>
                            </a:srgbClr>
                          </a:fillRef>
                          <a:effectRef idx="0">
                            <a:scrgbClr r="0" g="0" b="0"/>
                          </a:effectRef>
                          <a:fontRef idx="none"/>
                        </wps:style>
                        <wps:bodyPr/>
                      </wps:wsp>
                      <wps:wsp>
                        <wps:cNvPr id="42" name="Rectangle 42"/>
                        <wps:cNvSpPr/>
                        <wps:spPr>
                          <a:xfrm>
                            <a:off x="155002" y="100059"/>
                            <a:ext cx="202786" cy="354876"/>
                          </a:xfrm>
                          <a:prstGeom prst="rect">
                            <a:avLst/>
                          </a:prstGeom>
                          <a:ln>
                            <a:noFill/>
                          </a:ln>
                        </wps:spPr>
                        <wps:txbx>
                          <w:txbxContent>
                            <w:p w:rsidR="00E2557A" w:rsidRDefault="00EA78E5">
                              <w:pPr>
                                <w:spacing w:after="160" w:line="259" w:lineRule="auto"/>
                                <w:ind w:left="0" w:firstLine="0"/>
                              </w:pPr>
                              <w:r>
                                <w:rPr>
                                  <w:color w:val="3C3C3C"/>
                                  <w:w w:val="112"/>
                                  <w:sz w:val="42"/>
                                </w:rPr>
                                <w:t></w:t>
                              </w:r>
                            </w:p>
                          </w:txbxContent>
                        </wps:txbx>
                        <wps:bodyPr horzOverflow="overflow" vert="horz" lIns="0" tIns="0" rIns="0" bIns="0" rtlCol="0">
                          <a:noAutofit/>
                        </wps:bodyPr>
                      </wps:wsp>
                      <wps:wsp>
                        <wps:cNvPr id="45" name="Shape 45"/>
                        <wps:cNvSpPr/>
                        <wps:spPr>
                          <a:xfrm>
                            <a:off x="562236" y="0"/>
                            <a:ext cx="466942" cy="466942"/>
                          </a:xfrm>
                          <a:custGeom>
                            <a:avLst/>
                            <a:gdLst/>
                            <a:ahLst/>
                            <a:cxnLst/>
                            <a:rect l="0" t="0" r="0" b="0"/>
                            <a:pathLst>
                              <a:path w="466942" h="466942">
                                <a:moveTo>
                                  <a:pt x="466942" y="233471"/>
                                </a:moveTo>
                                <a:cubicBezTo>
                                  <a:pt x="466942" y="264430"/>
                                  <a:pt x="461018" y="294212"/>
                                  <a:pt x="449170" y="322815"/>
                                </a:cubicBezTo>
                                <a:cubicBezTo>
                                  <a:pt x="437322" y="351419"/>
                                  <a:pt x="420452" y="376667"/>
                                  <a:pt x="398561" y="398559"/>
                                </a:cubicBezTo>
                                <a:cubicBezTo>
                                  <a:pt x="376668" y="420452"/>
                                  <a:pt x="351420" y="437321"/>
                                  <a:pt x="322817" y="449169"/>
                                </a:cubicBezTo>
                                <a:cubicBezTo>
                                  <a:pt x="294213" y="461018"/>
                                  <a:pt x="264432" y="466941"/>
                                  <a:pt x="233471" y="466942"/>
                                </a:cubicBezTo>
                                <a:cubicBezTo>
                                  <a:pt x="202511" y="466941"/>
                                  <a:pt x="172729" y="461018"/>
                                  <a:pt x="144125" y="449169"/>
                                </a:cubicBezTo>
                                <a:cubicBezTo>
                                  <a:pt x="115522" y="437321"/>
                                  <a:pt x="90274" y="420452"/>
                                  <a:pt x="68382" y="398559"/>
                                </a:cubicBezTo>
                                <a:cubicBezTo>
                                  <a:pt x="46490" y="376667"/>
                                  <a:pt x="29620" y="351419"/>
                                  <a:pt x="17772" y="322815"/>
                                </a:cubicBezTo>
                                <a:cubicBezTo>
                                  <a:pt x="5924" y="294212"/>
                                  <a:pt x="0" y="264430"/>
                                  <a:pt x="0" y="233471"/>
                                </a:cubicBezTo>
                                <a:cubicBezTo>
                                  <a:pt x="0" y="202510"/>
                                  <a:pt x="5924" y="172727"/>
                                  <a:pt x="17772" y="144124"/>
                                </a:cubicBezTo>
                                <a:cubicBezTo>
                                  <a:pt x="29620" y="115520"/>
                                  <a:pt x="46490" y="90273"/>
                                  <a:pt x="68382" y="68381"/>
                                </a:cubicBezTo>
                                <a:cubicBezTo>
                                  <a:pt x="90274" y="46489"/>
                                  <a:pt x="115522" y="29618"/>
                                  <a:pt x="144125" y="17771"/>
                                </a:cubicBezTo>
                                <a:cubicBezTo>
                                  <a:pt x="172729" y="5924"/>
                                  <a:pt x="202511" y="0"/>
                                  <a:pt x="233471" y="0"/>
                                </a:cubicBezTo>
                                <a:cubicBezTo>
                                  <a:pt x="264432" y="0"/>
                                  <a:pt x="294213" y="5924"/>
                                  <a:pt x="322817" y="17771"/>
                                </a:cubicBezTo>
                                <a:cubicBezTo>
                                  <a:pt x="351420" y="29618"/>
                                  <a:pt x="376668" y="46489"/>
                                  <a:pt x="398561" y="68381"/>
                                </a:cubicBezTo>
                                <a:cubicBezTo>
                                  <a:pt x="420452" y="90273"/>
                                  <a:pt x="437322" y="115520"/>
                                  <a:pt x="449170" y="144124"/>
                                </a:cubicBezTo>
                                <a:cubicBezTo>
                                  <a:pt x="461018" y="172727"/>
                                  <a:pt x="466942" y="202510"/>
                                  <a:pt x="466942" y="233471"/>
                                </a:cubicBezTo>
                                <a:close/>
                              </a:path>
                            </a:pathLst>
                          </a:custGeom>
                          <a:ln w="9529" cap="flat">
                            <a:miter lim="100000"/>
                          </a:ln>
                        </wps:spPr>
                        <wps:style>
                          <a:lnRef idx="1">
                            <a:srgbClr val="3C3C3C"/>
                          </a:lnRef>
                          <a:fillRef idx="0">
                            <a:srgbClr val="000000">
                              <a:alpha val="0"/>
                            </a:srgbClr>
                          </a:fillRef>
                          <a:effectRef idx="0">
                            <a:scrgbClr r="0" g="0" b="0"/>
                          </a:effectRef>
                          <a:fontRef idx="none"/>
                        </wps:style>
                        <wps:bodyPr/>
                      </wps:wsp>
                      <wps:wsp>
                        <wps:cNvPr id="47" name="Rectangle 47"/>
                        <wps:cNvSpPr/>
                        <wps:spPr>
                          <a:xfrm>
                            <a:off x="671080" y="100059"/>
                            <a:ext cx="329528" cy="354876"/>
                          </a:xfrm>
                          <a:prstGeom prst="rect">
                            <a:avLst/>
                          </a:prstGeom>
                          <a:ln>
                            <a:noFill/>
                          </a:ln>
                        </wps:spPr>
                        <wps:txbx>
                          <w:txbxContent>
                            <w:p w:rsidR="00E2557A" w:rsidRDefault="00EA78E5">
                              <w:pPr>
                                <w:spacing w:after="160" w:line="259" w:lineRule="auto"/>
                                <w:ind w:left="0" w:firstLine="0"/>
                              </w:pPr>
                              <w:r>
                                <w:rPr>
                                  <w:color w:val="3C3C3C"/>
                                  <w:w w:val="183"/>
                                  <w:sz w:val="42"/>
                                </w:rPr>
                                <w:t></w:t>
                              </w:r>
                            </w:p>
                          </w:txbxContent>
                        </wps:txbx>
                        <wps:bodyPr horzOverflow="overflow" vert="horz" lIns="0" tIns="0" rIns="0" bIns="0" rtlCol="0">
                          <a:noAutofit/>
                        </wps:bodyPr>
                      </wps:wsp>
                      <wps:wsp>
                        <wps:cNvPr id="50" name="Shape 50"/>
                        <wps:cNvSpPr/>
                        <wps:spPr>
                          <a:xfrm>
                            <a:off x="1124473" y="0"/>
                            <a:ext cx="466942" cy="466942"/>
                          </a:xfrm>
                          <a:custGeom>
                            <a:avLst/>
                            <a:gdLst/>
                            <a:ahLst/>
                            <a:cxnLst/>
                            <a:rect l="0" t="0" r="0" b="0"/>
                            <a:pathLst>
                              <a:path w="466942" h="466942">
                                <a:moveTo>
                                  <a:pt x="466942" y="233471"/>
                                </a:moveTo>
                                <a:cubicBezTo>
                                  <a:pt x="466942" y="264430"/>
                                  <a:pt x="461018" y="294212"/>
                                  <a:pt x="449169" y="322815"/>
                                </a:cubicBezTo>
                                <a:cubicBezTo>
                                  <a:pt x="437321" y="351419"/>
                                  <a:pt x="420451" y="376667"/>
                                  <a:pt x="398559" y="398559"/>
                                </a:cubicBezTo>
                                <a:cubicBezTo>
                                  <a:pt x="376667" y="420452"/>
                                  <a:pt x="351419" y="437321"/>
                                  <a:pt x="322816" y="449169"/>
                                </a:cubicBezTo>
                                <a:cubicBezTo>
                                  <a:pt x="294213" y="461018"/>
                                  <a:pt x="264431" y="466941"/>
                                  <a:pt x="233471" y="466942"/>
                                </a:cubicBezTo>
                                <a:cubicBezTo>
                                  <a:pt x="202511" y="466941"/>
                                  <a:pt x="172729" y="461018"/>
                                  <a:pt x="144125" y="449169"/>
                                </a:cubicBezTo>
                                <a:cubicBezTo>
                                  <a:pt x="115522" y="437321"/>
                                  <a:pt x="90274" y="420452"/>
                                  <a:pt x="68382" y="398559"/>
                                </a:cubicBezTo>
                                <a:cubicBezTo>
                                  <a:pt x="46490" y="376667"/>
                                  <a:pt x="29620" y="351419"/>
                                  <a:pt x="17772" y="322815"/>
                                </a:cubicBezTo>
                                <a:cubicBezTo>
                                  <a:pt x="5924" y="294212"/>
                                  <a:pt x="0" y="264430"/>
                                  <a:pt x="0" y="233471"/>
                                </a:cubicBezTo>
                                <a:cubicBezTo>
                                  <a:pt x="0" y="202510"/>
                                  <a:pt x="5924" y="172727"/>
                                  <a:pt x="17772" y="144124"/>
                                </a:cubicBezTo>
                                <a:cubicBezTo>
                                  <a:pt x="29620" y="115520"/>
                                  <a:pt x="46490" y="90273"/>
                                  <a:pt x="68382" y="68381"/>
                                </a:cubicBezTo>
                                <a:cubicBezTo>
                                  <a:pt x="90274" y="46489"/>
                                  <a:pt x="115522" y="29618"/>
                                  <a:pt x="144125" y="17771"/>
                                </a:cubicBezTo>
                                <a:cubicBezTo>
                                  <a:pt x="172729" y="5924"/>
                                  <a:pt x="202511" y="0"/>
                                  <a:pt x="233471" y="0"/>
                                </a:cubicBezTo>
                                <a:cubicBezTo>
                                  <a:pt x="264431" y="0"/>
                                  <a:pt x="294213" y="5924"/>
                                  <a:pt x="322816" y="17771"/>
                                </a:cubicBezTo>
                                <a:cubicBezTo>
                                  <a:pt x="351419" y="29618"/>
                                  <a:pt x="376667" y="46489"/>
                                  <a:pt x="398559" y="68381"/>
                                </a:cubicBezTo>
                                <a:cubicBezTo>
                                  <a:pt x="420451" y="90273"/>
                                  <a:pt x="437321" y="115520"/>
                                  <a:pt x="449169" y="144124"/>
                                </a:cubicBezTo>
                                <a:cubicBezTo>
                                  <a:pt x="461018" y="172727"/>
                                  <a:pt x="466942" y="202510"/>
                                  <a:pt x="466942" y="233471"/>
                                </a:cubicBezTo>
                                <a:close/>
                              </a:path>
                            </a:pathLst>
                          </a:custGeom>
                          <a:ln w="9529" cap="flat">
                            <a:miter lim="100000"/>
                          </a:ln>
                        </wps:spPr>
                        <wps:style>
                          <a:lnRef idx="1">
                            <a:srgbClr val="3C3C3C"/>
                          </a:lnRef>
                          <a:fillRef idx="0">
                            <a:srgbClr val="000000">
                              <a:alpha val="0"/>
                            </a:srgbClr>
                          </a:fillRef>
                          <a:effectRef idx="0">
                            <a:scrgbClr r="0" g="0" b="0"/>
                          </a:effectRef>
                          <a:fontRef idx="none"/>
                        </wps:style>
                        <wps:bodyPr/>
                      </wps:wsp>
                      <wps:wsp>
                        <wps:cNvPr id="52" name="Rectangle 52"/>
                        <wps:cNvSpPr/>
                        <wps:spPr>
                          <a:xfrm>
                            <a:off x="1244335" y="100059"/>
                            <a:ext cx="304179" cy="354876"/>
                          </a:xfrm>
                          <a:prstGeom prst="rect">
                            <a:avLst/>
                          </a:prstGeom>
                          <a:ln>
                            <a:noFill/>
                          </a:ln>
                        </wps:spPr>
                        <wps:txbx>
                          <w:txbxContent>
                            <w:p w:rsidR="00E2557A" w:rsidRDefault="00EA78E5">
                              <w:pPr>
                                <w:spacing w:after="160" w:line="259" w:lineRule="auto"/>
                                <w:ind w:left="0" w:firstLine="0"/>
                              </w:pPr>
                              <w:r>
                                <w:rPr>
                                  <w:color w:val="3C3C3C"/>
                                  <w:w w:val="169"/>
                                  <w:sz w:val="42"/>
                                </w:rPr>
                                <w:t></w:t>
                              </w:r>
                            </w:p>
                          </w:txbxContent>
                        </wps:txbx>
                        <wps:bodyPr horzOverflow="overflow" vert="horz" lIns="0" tIns="0" rIns="0" bIns="0" rtlCol="0">
                          <a:noAutofit/>
                        </wps:bodyPr>
                      </wps:wsp>
                      <wps:wsp>
                        <wps:cNvPr id="55" name="Shape 55"/>
                        <wps:cNvSpPr/>
                        <wps:spPr>
                          <a:xfrm>
                            <a:off x="1686709" y="0"/>
                            <a:ext cx="466942" cy="466942"/>
                          </a:xfrm>
                          <a:custGeom>
                            <a:avLst/>
                            <a:gdLst/>
                            <a:ahLst/>
                            <a:cxnLst/>
                            <a:rect l="0" t="0" r="0" b="0"/>
                            <a:pathLst>
                              <a:path w="466942" h="466942">
                                <a:moveTo>
                                  <a:pt x="466942" y="233471"/>
                                </a:moveTo>
                                <a:cubicBezTo>
                                  <a:pt x="466942" y="264430"/>
                                  <a:pt x="461018" y="294212"/>
                                  <a:pt x="449170" y="322815"/>
                                </a:cubicBezTo>
                                <a:cubicBezTo>
                                  <a:pt x="437322" y="351419"/>
                                  <a:pt x="420452" y="376667"/>
                                  <a:pt x="398560" y="398559"/>
                                </a:cubicBezTo>
                                <a:cubicBezTo>
                                  <a:pt x="376668" y="420452"/>
                                  <a:pt x="351420" y="437321"/>
                                  <a:pt x="322816" y="449169"/>
                                </a:cubicBezTo>
                                <a:cubicBezTo>
                                  <a:pt x="294213" y="461018"/>
                                  <a:pt x="264431" y="466941"/>
                                  <a:pt x="233471" y="466942"/>
                                </a:cubicBezTo>
                                <a:cubicBezTo>
                                  <a:pt x="202511" y="466941"/>
                                  <a:pt x="172729" y="461018"/>
                                  <a:pt x="144125" y="449169"/>
                                </a:cubicBezTo>
                                <a:cubicBezTo>
                                  <a:pt x="115522" y="437321"/>
                                  <a:pt x="90274" y="420452"/>
                                  <a:pt x="68382" y="398559"/>
                                </a:cubicBezTo>
                                <a:cubicBezTo>
                                  <a:pt x="46490" y="376667"/>
                                  <a:pt x="29620" y="351419"/>
                                  <a:pt x="17771" y="322815"/>
                                </a:cubicBezTo>
                                <a:cubicBezTo>
                                  <a:pt x="5924" y="294212"/>
                                  <a:pt x="0" y="264430"/>
                                  <a:pt x="0" y="233471"/>
                                </a:cubicBezTo>
                                <a:cubicBezTo>
                                  <a:pt x="0" y="202510"/>
                                  <a:pt x="5924" y="172727"/>
                                  <a:pt x="17772" y="144124"/>
                                </a:cubicBezTo>
                                <a:cubicBezTo>
                                  <a:pt x="29620" y="115520"/>
                                  <a:pt x="46490" y="90273"/>
                                  <a:pt x="68382" y="68381"/>
                                </a:cubicBezTo>
                                <a:cubicBezTo>
                                  <a:pt x="90274" y="46489"/>
                                  <a:pt x="115522" y="29618"/>
                                  <a:pt x="144125" y="17771"/>
                                </a:cubicBezTo>
                                <a:cubicBezTo>
                                  <a:pt x="172729" y="5924"/>
                                  <a:pt x="202511" y="0"/>
                                  <a:pt x="233471" y="0"/>
                                </a:cubicBezTo>
                                <a:cubicBezTo>
                                  <a:pt x="264431" y="0"/>
                                  <a:pt x="294213" y="5924"/>
                                  <a:pt x="322816" y="17771"/>
                                </a:cubicBezTo>
                                <a:cubicBezTo>
                                  <a:pt x="351420" y="29618"/>
                                  <a:pt x="376668" y="46489"/>
                                  <a:pt x="398560" y="68381"/>
                                </a:cubicBezTo>
                                <a:cubicBezTo>
                                  <a:pt x="420452" y="90273"/>
                                  <a:pt x="437322" y="115520"/>
                                  <a:pt x="449170" y="144124"/>
                                </a:cubicBezTo>
                                <a:cubicBezTo>
                                  <a:pt x="461018" y="172727"/>
                                  <a:pt x="466942" y="202510"/>
                                  <a:pt x="466942" y="233471"/>
                                </a:cubicBezTo>
                                <a:close/>
                              </a:path>
                            </a:pathLst>
                          </a:custGeom>
                          <a:ln w="9529" cap="flat">
                            <a:miter lim="100000"/>
                          </a:ln>
                        </wps:spPr>
                        <wps:style>
                          <a:lnRef idx="1">
                            <a:srgbClr val="3C3C3C"/>
                          </a:lnRef>
                          <a:fillRef idx="0">
                            <a:srgbClr val="000000">
                              <a:alpha val="0"/>
                            </a:srgbClr>
                          </a:fillRef>
                          <a:effectRef idx="0">
                            <a:scrgbClr r="0" g="0" b="0"/>
                          </a:effectRef>
                          <a:fontRef idx="none"/>
                        </wps:style>
                        <wps:bodyPr/>
                      </wps:wsp>
                      <wps:wsp>
                        <wps:cNvPr id="57" name="Rectangle 57"/>
                        <wps:cNvSpPr/>
                        <wps:spPr>
                          <a:xfrm>
                            <a:off x="1750884" y="100059"/>
                            <a:ext cx="456269" cy="354876"/>
                          </a:xfrm>
                          <a:prstGeom prst="rect">
                            <a:avLst/>
                          </a:prstGeom>
                          <a:ln>
                            <a:noFill/>
                          </a:ln>
                        </wps:spPr>
                        <wps:txbx>
                          <w:txbxContent>
                            <w:p w:rsidR="00E2557A" w:rsidRDefault="00EA78E5">
                              <w:pPr>
                                <w:spacing w:after="160" w:line="259" w:lineRule="auto"/>
                                <w:ind w:left="0" w:firstLine="0"/>
                              </w:pPr>
                              <w:r>
                                <w:rPr>
                                  <w:color w:val="3C3C3C"/>
                                  <w:w w:val="253"/>
                                  <w:sz w:val="42"/>
                                </w:rPr>
                                <w:t></w:t>
                              </w:r>
                            </w:p>
                          </w:txbxContent>
                        </wps:txbx>
                        <wps:bodyPr horzOverflow="overflow" vert="horz" lIns="0" tIns="0" rIns="0" bIns="0" rtlCol="0">
                          <a:noAutofit/>
                        </wps:bodyPr>
                      </wps:wsp>
                    </wpg:wgp>
                  </a:graphicData>
                </a:graphic>
              </wp:inline>
            </w:drawing>
          </mc:Choice>
          <mc:Fallback xmlns:a="http://schemas.openxmlformats.org/drawingml/2006/main">
            <w:pict>
              <v:group id="Group 2199" style="width:169.579pt;height:40.6596pt;mso-position-horizontal-relative:char;mso-position-vertical-relative:line" coordsize="21536,5163">
                <v:rect id="Rectangle 31" style="position:absolute;width:526;height:2761;left:4932;top:3087;" filled="f" stroked="f">
                  <v:textbox inset="0,0,0,0">
                    <w:txbxContent>
                      <w:p>
                        <w:pPr>
                          <w:spacing w:before="0" w:after="160" w:line="259" w:lineRule="auto"/>
                          <w:ind w:left="0" w:firstLine="0"/>
                        </w:pPr>
                        <w:r>
                          <w:rPr/>
                          <w:t xml:space="preserve"> </w:t>
                        </w:r>
                      </w:p>
                    </w:txbxContent>
                  </v:textbox>
                </v:rect>
                <v:rect id="Rectangle 32" style="position:absolute;width:526;height:2761;left:10570;top:3087;" filled="f" stroked="f">
                  <v:textbox inset="0,0,0,0">
                    <w:txbxContent>
                      <w:p>
                        <w:pPr>
                          <w:spacing w:before="0" w:after="160" w:line="259" w:lineRule="auto"/>
                          <w:ind w:left="0" w:firstLine="0"/>
                        </w:pPr>
                        <w:r>
                          <w:rPr/>
                          <w:t xml:space="preserve"> </w:t>
                        </w:r>
                      </w:p>
                    </w:txbxContent>
                  </v:textbox>
                </v:rect>
                <v:rect id="Rectangle 33" style="position:absolute;width:526;height:2761;left:16207;top:3087;" filled="f" stroked="f">
                  <v:textbox inset="0,0,0,0">
                    <w:txbxContent>
                      <w:p>
                        <w:pPr>
                          <w:spacing w:before="0" w:after="160" w:line="259" w:lineRule="auto"/>
                          <w:ind w:left="0" w:firstLine="0"/>
                        </w:pPr>
                        <w:r>
                          <w:rPr/>
                          <w:t xml:space="preserve"> </w:t>
                        </w:r>
                      </w:p>
                    </w:txbxContent>
                  </v:textbox>
                </v:rect>
                <v:shape id="Shape 40" style="position:absolute;width:4669;height:4669;left:0;top:0;" coordsize="466942,466942" path="m466942,233471c466942,264430,461018,294212,449170,322815c437322,351419,420452,376667,398560,398559c376668,420452,351420,437321,322816,449169c294213,461018,264431,466941,233471,466942c202511,466941,172729,461018,144126,449169c115522,437321,90274,420452,68382,398559c46490,376667,29620,351419,17772,322815c5924,294212,0,264430,0,233471c0,202510,5924,172727,17772,144124c29620,115520,46490,90273,68382,68381c90274,46489,115522,29618,144126,17771c172729,5924,202511,0,233471,0c264431,0,294213,5924,322816,17771c351420,29618,376668,46489,398560,68381c420452,90273,437322,115520,449170,144124c461018,172727,466942,202510,466942,233471x">
                  <v:stroke weight="0.750349pt" endcap="flat" joinstyle="miter" miterlimit="4" on="true" color="#3c3c3c"/>
                  <v:fill on="false" color="#000000" opacity="0"/>
                </v:shape>
                <v:rect id="Rectangle 42" style="position:absolute;width:2027;height:3548;left:1550;top:1000;" filled="f" stroked="f">
                  <v:textbox inset="0,0,0,0">
                    <w:txbxContent>
                      <w:p>
                        <w:pPr>
                          <w:spacing w:before="0" w:after="160" w:line="259" w:lineRule="auto"/>
                          <w:ind w:left="0" w:firstLine="0"/>
                        </w:pPr>
                        <w:r>
                          <w:rPr>
                            <w:rFonts w:cs="Calibri" w:hAnsi="Calibri" w:eastAsia="Calibri" w:ascii="Calibri"/>
                            <w:color w:val="3c3c3c"/>
                            <w:w w:val="112"/>
                            <w:sz w:val="42"/>
                          </w:rPr>
                          <w:t xml:space="preserve"></w:t>
                        </w:r>
                      </w:p>
                    </w:txbxContent>
                  </v:textbox>
                </v:rect>
                <v:shape id="Shape 45" style="position:absolute;width:4669;height:4669;left:5622;top:0;" coordsize="466942,466942" path="m466942,233471c466942,264430,461018,294212,449170,322815c437322,351419,420452,376667,398561,398559c376668,420452,351420,437321,322817,449169c294213,461018,264432,466941,233471,466942c202511,466941,172729,461018,144125,449169c115522,437321,90274,420452,68382,398559c46490,376667,29620,351419,17772,322815c5924,294212,0,264430,0,233471c0,202510,5924,172727,17772,144124c29620,115520,46490,90273,68382,68381c90274,46489,115522,29618,144125,17771c172729,5924,202511,0,233471,0c264432,0,294213,5924,322817,17771c351420,29618,376668,46489,398561,68381c420452,90273,437322,115520,449170,144124c461018,172727,466942,202510,466942,233471x">
                  <v:stroke weight="0.750349pt" endcap="flat" joinstyle="miter" miterlimit="4" on="true" color="#3c3c3c"/>
                  <v:fill on="false" color="#000000" opacity="0"/>
                </v:shape>
                <v:rect id="Rectangle 47" style="position:absolute;width:3295;height:3548;left:6710;top:1000;" filled="f" stroked="f">
                  <v:textbox inset="0,0,0,0">
                    <w:txbxContent>
                      <w:p>
                        <w:pPr>
                          <w:spacing w:before="0" w:after="160" w:line="259" w:lineRule="auto"/>
                          <w:ind w:left="0" w:firstLine="0"/>
                        </w:pPr>
                        <w:r>
                          <w:rPr>
                            <w:rFonts w:cs="Calibri" w:hAnsi="Calibri" w:eastAsia="Calibri" w:ascii="Calibri"/>
                            <w:color w:val="3c3c3c"/>
                            <w:w w:val="183"/>
                            <w:sz w:val="42"/>
                          </w:rPr>
                          <w:t xml:space="preserve"></w:t>
                        </w:r>
                      </w:p>
                    </w:txbxContent>
                  </v:textbox>
                </v:rect>
                <v:shape id="Shape 50" style="position:absolute;width:4669;height:4669;left:11244;top:0;" coordsize="466942,466942" path="m466942,233471c466942,264430,461018,294212,449169,322815c437321,351419,420451,376667,398559,398559c376667,420452,351419,437321,322816,449169c294213,461018,264431,466941,233471,466942c202511,466941,172729,461018,144125,449169c115522,437321,90274,420452,68382,398559c46490,376667,29620,351419,17772,322815c5924,294212,0,264430,0,233471c0,202510,5924,172727,17772,144124c29620,115520,46490,90273,68382,68381c90274,46489,115522,29618,144125,17771c172729,5924,202511,0,233471,0c264431,0,294213,5924,322816,17771c351419,29618,376667,46489,398559,68381c420451,90273,437321,115520,449169,144124c461018,172727,466942,202510,466942,233471x">
                  <v:stroke weight="0.750349pt" endcap="flat" joinstyle="miter" miterlimit="4" on="true" color="#3c3c3c"/>
                  <v:fill on="false" color="#000000" opacity="0"/>
                </v:shape>
                <v:rect id="Rectangle 52" style="position:absolute;width:3041;height:3548;left:12443;top:1000;" filled="f" stroked="f">
                  <v:textbox inset="0,0,0,0">
                    <w:txbxContent>
                      <w:p>
                        <w:pPr>
                          <w:spacing w:before="0" w:after="160" w:line="259" w:lineRule="auto"/>
                          <w:ind w:left="0" w:firstLine="0"/>
                        </w:pPr>
                        <w:r>
                          <w:rPr>
                            <w:rFonts w:cs="Calibri" w:hAnsi="Calibri" w:eastAsia="Calibri" w:ascii="Calibri"/>
                            <w:color w:val="3c3c3c"/>
                            <w:w w:val="169"/>
                            <w:sz w:val="42"/>
                          </w:rPr>
                          <w:t xml:space="preserve"></w:t>
                        </w:r>
                      </w:p>
                    </w:txbxContent>
                  </v:textbox>
                </v:rect>
                <v:shape id="Shape 55" style="position:absolute;width:4669;height:4669;left:16867;top:0;" coordsize="466942,466942" path="m466942,233471c466942,264430,461018,294212,449170,322815c437322,351419,420452,376667,398560,398559c376668,420452,351420,437321,322816,449169c294213,461018,264431,466941,233471,466942c202511,466941,172729,461018,144125,449169c115522,437321,90274,420452,68382,398559c46490,376667,29620,351419,17771,322815c5924,294212,0,264430,0,233471c0,202510,5924,172727,17772,144124c29620,115520,46490,90273,68382,68381c90274,46489,115522,29618,144125,17771c172729,5924,202511,0,233471,0c264431,0,294213,5924,322816,17771c351420,29618,376668,46489,398560,68381c420452,90273,437322,115520,449170,144124c461018,172727,466942,202510,466942,233471x">
                  <v:stroke weight="0.750349pt" endcap="flat" joinstyle="miter" miterlimit="4" on="true" color="#3c3c3c"/>
                  <v:fill on="false" color="#000000" opacity="0"/>
                </v:shape>
                <v:rect id="Rectangle 57" style="position:absolute;width:4562;height:3548;left:17508;top:1000;" filled="f" stroked="f">
                  <v:textbox inset="0,0,0,0">
                    <w:txbxContent>
                      <w:p>
                        <w:pPr>
                          <w:spacing w:before="0" w:after="160" w:line="259" w:lineRule="auto"/>
                          <w:ind w:left="0" w:firstLine="0"/>
                        </w:pPr>
                        <w:r>
                          <w:rPr>
                            <w:rFonts w:cs="Calibri" w:hAnsi="Calibri" w:eastAsia="Calibri" w:ascii="Calibri"/>
                            <w:color w:val="3c3c3c"/>
                            <w:w w:val="253"/>
                            <w:sz w:val="42"/>
                          </w:rPr>
                          <w:t xml:space="preserve"></w:t>
                        </w:r>
                      </w:p>
                    </w:txbxContent>
                  </v:textbox>
                </v:rect>
              </v:group>
            </w:pict>
          </mc:Fallback>
        </mc:AlternateContent>
      </w:r>
    </w:p>
    <w:p w:rsidR="00E2557A" w:rsidRDefault="00EA78E5">
      <w:pPr>
        <w:spacing w:after="46" w:line="259" w:lineRule="auto"/>
        <w:ind w:left="0" w:right="-23" w:firstLine="0"/>
      </w:pPr>
      <w:r>
        <w:rPr>
          <w:noProof/>
        </w:rPr>
        <w:lastRenderedPageBreak/>
        <w:drawing>
          <wp:inline distT="0" distB="0" distL="0" distR="0">
            <wp:extent cx="6642012" cy="4431184"/>
            <wp:effectExtent l="0" t="0" r="0" b="0"/>
            <wp:docPr id="83" name="Picture 83"/>
            <wp:cNvGraphicFramePr/>
            <a:graphic xmlns:a="http://schemas.openxmlformats.org/drawingml/2006/main">
              <a:graphicData uri="http://schemas.openxmlformats.org/drawingml/2006/picture">
                <pic:pic xmlns:pic="http://schemas.openxmlformats.org/drawingml/2006/picture">
                  <pic:nvPicPr>
                    <pic:cNvPr id="83" name="Picture 83"/>
                    <pic:cNvPicPr/>
                  </pic:nvPicPr>
                  <pic:blipFill>
                    <a:blip r:embed="rId6"/>
                    <a:stretch>
                      <a:fillRect/>
                    </a:stretch>
                  </pic:blipFill>
                  <pic:spPr>
                    <a:xfrm>
                      <a:off x="0" y="0"/>
                      <a:ext cx="6642012" cy="4431184"/>
                    </a:xfrm>
                    <a:prstGeom prst="rect">
                      <a:avLst/>
                    </a:prstGeom>
                  </pic:spPr>
                </pic:pic>
              </a:graphicData>
            </a:graphic>
          </wp:inline>
        </w:drawing>
      </w:r>
    </w:p>
    <w:p w:rsidR="00E2557A" w:rsidRDefault="00EA78E5">
      <w:pPr>
        <w:spacing w:after="488" w:line="259" w:lineRule="auto"/>
        <w:ind w:left="0" w:firstLine="0"/>
      </w:pPr>
      <w:r>
        <w:rPr>
          <w:sz w:val="21"/>
        </w:rPr>
        <w:t>Energy risk: US high-yield bonds are highly correlated to the oil price</w:t>
      </w:r>
    </w:p>
    <w:p w:rsidR="00E2557A" w:rsidRDefault="00EA78E5">
      <w:pPr>
        <w:ind w:left="-5"/>
      </w:pPr>
      <w:r>
        <w:t>The downsides of investing based on traditional market cap-based equity indexes are well documented, but many investors do not realise that credit markets face similar issues, said Rap</w:t>
      </w:r>
      <w:r>
        <w:t xml:space="preserve">hael Thuin, </w:t>
      </w:r>
      <w:proofErr w:type="gramStart"/>
      <w:r>
        <w:t>fixed</w:t>
      </w:r>
      <w:proofErr w:type="gramEnd"/>
      <w:r>
        <w:t xml:space="preserve"> income portfolio manager at </w:t>
      </w:r>
      <w:proofErr w:type="spellStart"/>
      <w:r>
        <w:t>Tobam</w:t>
      </w:r>
      <w:proofErr w:type="spellEnd"/>
      <w:r>
        <w:t>, a Paris-based smart-beta fund house.</w:t>
      </w:r>
    </w:p>
    <w:p w:rsidR="00E2557A" w:rsidRDefault="00EA78E5">
      <w:pPr>
        <w:ind w:left="-5"/>
      </w:pPr>
      <w:r>
        <w:t xml:space="preserve">As a stock's value rises, so does its weight in </w:t>
      </w:r>
      <w:proofErr w:type="gramStart"/>
      <w:r>
        <w:t>an</w:t>
      </w:r>
      <w:proofErr w:type="gramEnd"/>
      <w:r>
        <w:t xml:space="preserve"> market cap-weighted equity benchmark, he noted, and the same is true of corporate bonds, posing significant concent</w:t>
      </w:r>
      <w:r>
        <w:t>ration risks to both passive and active managers.</w:t>
      </w:r>
    </w:p>
    <w:p w:rsidR="00E2557A" w:rsidRDefault="00EA78E5">
      <w:pPr>
        <w:ind w:left="-5"/>
      </w:pPr>
      <w:r>
        <w:t xml:space="preserve">Hence many investors are exposing themselves heavily to very specific risk factors when they buy corporate bond funds, he told </w:t>
      </w:r>
      <w:proofErr w:type="spellStart"/>
      <w:r>
        <w:t>AsianInvestor</w:t>
      </w:r>
      <w:proofErr w:type="spellEnd"/>
      <w:r>
        <w:t xml:space="preserve">, citing new research by </w:t>
      </w:r>
      <w:proofErr w:type="spellStart"/>
      <w:r>
        <w:t>Tobam</w:t>
      </w:r>
      <w:proofErr w:type="spellEnd"/>
      <w:r>
        <w:t>.</w:t>
      </w:r>
    </w:p>
    <w:p w:rsidR="00E2557A" w:rsidRDefault="00EA78E5">
      <w:pPr>
        <w:ind w:left="-5"/>
      </w:pPr>
      <w:r>
        <w:t>Thuin said the research highlighted several risks: the high correlation of US high yield with the energy sector in the past year or so; the fact that credit spreads are very tight and not highly dispersed; and the concentration of almost half the US high-y</w:t>
      </w:r>
      <w:r>
        <w:t>ield bond market in the hands of just 20 asset managers.</w:t>
      </w:r>
    </w:p>
    <w:p w:rsidR="00E2557A" w:rsidRDefault="00EA78E5">
      <w:pPr>
        <w:ind w:left="-5"/>
      </w:pPr>
      <w:r>
        <w:t>As a result, he argued, investors should take a more diversified approach to corporate bonds than simply allocating to traditional active or passive credit funds.</w:t>
      </w:r>
    </w:p>
    <w:p w:rsidR="00E2557A" w:rsidRDefault="00EA78E5">
      <w:pPr>
        <w:ind w:left="-5"/>
      </w:pPr>
      <w:r>
        <w:lastRenderedPageBreak/>
        <w:t xml:space="preserve">Thuin said </w:t>
      </w:r>
      <w:proofErr w:type="spellStart"/>
      <w:r>
        <w:t>Tobam’s</w:t>
      </w:r>
      <w:proofErr w:type="spellEnd"/>
      <w:r>
        <w:t xml:space="preserve"> ‘diversification </w:t>
      </w:r>
      <w:r>
        <w:t>ratio’ could help: it is a quantitative formula designed to ensure a portfolio is as diversified as possible and avoids the concentration risk posed by traditional index-based or benchmarked investments.</w:t>
      </w:r>
    </w:p>
    <w:p w:rsidR="00E2557A" w:rsidRDefault="00EA78E5">
      <w:pPr>
        <w:ind w:left="-5"/>
      </w:pPr>
      <w:r>
        <w:t>The three findings</w:t>
      </w:r>
    </w:p>
    <w:p w:rsidR="00E2557A" w:rsidRDefault="00EA78E5">
      <w:pPr>
        <w:ind w:left="-5"/>
      </w:pPr>
      <w:r>
        <w:t xml:space="preserve">One concern raised by </w:t>
      </w:r>
      <w:proofErr w:type="spellStart"/>
      <w:r>
        <w:t>Tobam’s</w:t>
      </w:r>
      <w:proofErr w:type="spellEnd"/>
      <w:r>
        <w:t xml:space="preserve"> research is the high correlation of certain countries' credit markets with specific sectors at certain times.</w:t>
      </w:r>
    </w:p>
    <w:p w:rsidR="00E2557A" w:rsidRDefault="00EA78E5">
      <w:pPr>
        <w:spacing w:after="110"/>
        <w:ind w:left="-5"/>
      </w:pPr>
      <w:r>
        <w:t>During the technology, media and telecommunications (TMT) boom in the US in 2000, companies in the sector issued bon</w:t>
      </w:r>
      <w:r>
        <w:t>ds to finance growth, noted Thuin (see figure below). That meant the debt in that sector increased to almost 45% of the total high-yield market at the time on a risk-adjusted basis (32% of its market-value) – before the TMT bubble abruptly burst.</w:t>
      </w:r>
    </w:p>
    <w:p w:rsidR="00E2557A" w:rsidRDefault="00EA78E5">
      <w:pPr>
        <w:spacing w:after="121" w:line="259" w:lineRule="auto"/>
        <w:ind w:left="2236" w:firstLine="0"/>
      </w:pPr>
      <w:r>
        <w:rPr>
          <w:noProof/>
        </w:rPr>
        <w:drawing>
          <wp:inline distT="0" distB="0" distL="0" distR="0">
            <wp:extent cx="3811771" cy="1829650"/>
            <wp:effectExtent l="0" t="0" r="0" b="0"/>
            <wp:docPr id="129" name="Picture 129"/>
            <wp:cNvGraphicFramePr/>
            <a:graphic xmlns:a="http://schemas.openxmlformats.org/drawingml/2006/main">
              <a:graphicData uri="http://schemas.openxmlformats.org/drawingml/2006/picture">
                <pic:pic xmlns:pic="http://schemas.openxmlformats.org/drawingml/2006/picture">
                  <pic:nvPicPr>
                    <pic:cNvPr id="129" name="Picture 129"/>
                    <pic:cNvPicPr/>
                  </pic:nvPicPr>
                  <pic:blipFill>
                    <a:blip r:embed="rId7"/>
                    <a:stretch>
                      <a:fillRect/>
                    </a:stretch>
                  </pic:blipFill>
                  <pic:spPr>
                    <a:xfrm>
                      <a:off x="0" y="0"/>
                      <a:ext cx="3811771" cy="1829650"/>
                    </a:xfrm>
                    <a:prstGeom prst="rect">
                      <a:avLst/>
                    </a:prstGeom>
                  </pic:spPr>
                </pic:pic>
              </a:graphicData>
            </a:graphic>
          </wp:inline>
        </w:drawing>
      </w:r>
    </w:p>
    <w:p w:rsidR="00E2557A" w:rsidRDefault="00EA78E5">
      <w:pPr>
        <w:spacing w:after="504" w:line="293" w:lineRule="auto"/>
        <w:ind w:left="34"/>
        <w:jc w:val="center"/>
      </w:pPr>
      <w:r>
        <w:rPr>
          <w:sz w:val="21"/>
        </w:rPr>
        <w:t>Risk-we</w:t>
      </w:r>
      <w:r>
        <w:rPr>
          <w:sz w:val="21"/>
        </w:rPr>
        <w:t>ighted concentrations (click for full view)</w:t>
      </w:r>
    </w:p>
    <w:p w:rsidR="00E2557A" w:rsidRDefault="00EA78E5">
      <w:pPr>
        <w:ind w:left="-5"/>
      </w:pPr>
      <w:r>
        <w:t>It was a similar story in 2005 for the US automobile industry, said Thuin, “and now the elephant in the room is the energy sector”.</w:t>
      </w:r>
    </w:p>
    <w:p w:rsidR="00E2557A" w:rsidRDefault="00EA78E5">
      <w:pPr>
        <w:ind w:left="-5"/>
      </w:pPr>
      <w:r>
        <w:t>The 2007-2008 shale gas boom in the US spurred energy companies to finance growt</w:t>
      </w:r>
      <w:r>
        <w:t xml:space="preserve">h; hence the increased weight of the energy sector in credit indexes. The upshot is that the most popular US high-yield exchange-traded fund, </w:t>
      </w:r>
      <w:proofErr w:type="spellStart"/>
      <w:r>
        <w:t>iShares</w:t>
      </w:r>
      <w:proofErr w:type="spellEnd"/>
      <w:r>
        <w:t>’ HYG, has had a correlation as high as 80% to the oil price in the past year or two, said Thuin: “US credi</w:t>
      </w:r>
      <w:r>
        <w:t>t investors may not realise it, but they are at times basically buying barrels of oil.”</w:t>
      </w:r>
    </w:p>
    <w:p w:rsidR="00E2557A" w:rsidRDefault="00EA78E5">
      <w:pPr>
        <w:ind w:left="-5"/>
      </w:pPr>
      <w:r>
        <w:t>This is worrying, he noted, as energy-sector bonds have rallied strongly in 2016, massively outperforming the market, despite a still very bleak operational environment</w:t>
      </w:r>
      <w:r>
        <w:t xml:space="preserve"> for energy companies and a spike in defaults to nearly 25% late last year.</w:t>
      </w:r>
    </w:p>
    <w:p w:rsidR="00E2557A" w:rsidRDefault="00EA78E5">
      <w:pPr>
        <w:spacing w:after="509"/>
        <w:ind w:left="-5"/>
      </w:pPr>
      <w:r>
        <w:t xml:space="preserve">On the back of this rally, the big spread pick-up that investors used to get to take the </w:t>
      </w:r>
      <w:proofErr w:type="spellStart"/>
      <w:r>
        <w:t>energysector</w:t>
      </w:r>
      <w:proofErr w:type="spellEnd"/>
      <w:r>
        <w:t xml:space="preserve"> credit risk has now all but disappeared, said Thuin, putting the market’s larg</w:t>
      </w:r>
      <w:r>
        <w:t>est concentration – and market participants – at risk.</w:t>
      </w:r>
    </w:p>
    <w:p w:rsidR="00E2557A" w:rsidRDefault="00EA78E5">
      <w:pPr>
        <w:ind w:left="-5"/>
      </w:pPr>
      <w:r>
        <w:lastRenderedPageBreak/>
        <w:t xml:space="preserve">Asian credit faces a similar problem in that it is very highly correlated to property, he said – above all </w:t>
      </w:r>
      <w:proofErr w:type="gramStart"/>
      <w:r>
        <w:t>to</w:t>
      </w:r>
      <w:proofErr w:type="gramEnd"/>
      <w:r>
        <w:t xml:space="preserve"> Chinese developers. As of July 31, real estate firms accounted for 40.7% of the Bank of Ame</w:t>
      </w:r>
      <w:r>
        <w:t>rica High-Yield Asia Emerging Market.</w:t>
      </w:r>
    </w:p>
    <w:p w:rsidR="00E2557A" w:rsidRDefault="00EA78E5">
      <w:pPr>
        <w:ind w:left="-5"/>
      </w:pPr>
      <w:r>
        <w:t>Another risk factor that Thuin flagged was that of global credit spread dispersion being at historically low levels, limiting investors’ ability to generate alpha. Spread dispersion is now comparable to its level in 20</w:t>
      </w:r>
      <w:r>
        <w:t>06 and 2007, the years preceding the global financial crisis, he said.</w:t>
      </w:r>
    </w:p>
    <w:p w:rsidR="00E2557A" w:rsidRDefault="00EA78E5">
      <w:pPr>
        <w:spacing w:after="110"/>
        <w:ind w:left="0" w:right="29" w:firstLine="0"/>
        <w:jc w:val="both"/>
      </w:pPr>
      <w:r>
        <w:t xml:space="preserve">The third credit market issue he raised was that of concentration among fund houses: in high yield, the 20 biggest managers own close to half of the market, by </w:t>
      </w:r>
      <w:proofErr w:type="spellStart"/>
      <w:r>
        <w:t>eVestment</w:t>
      </w:r>
      <w:proofErr w:type="spellEnd"/>
      <w:r>
        <w:t xml:space="preserve"> data (see figur</w:t>
      </w:r>
      <w:r>
        <w:t>e below).</w:t>
      </w:r>
    </w:p>
    <w:p w:rsidR="00E2557A" w:rsidRDefault="00EA78E5">
      <w:pPr>
        <w:spacing w:after="121" w:line="259" w:lineRule="auto"/>
        <w:ind w:left="2236" w:firstLine="0"/>
      </w:pPr>
      <w:r>
        <w:rPr>
          <w:noProof/>
        </w:rPr>
        <w:drawing>
          <wp:inline distT="0" distB="0" distL="0" distR="0">
            <wp:extent cx="3811771" cy="1505650"/>
            <wp:effectExtent l="0" t="0" r="0" b="0"/>
            <wp:docPr id="171" name="Picture 171"/>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8"/>
                    <a:stretch>
                      <a:fillRect/>
                    </a:stretch>
                  </pic:blipFill>
                  <pic:spPr>
                    <a:xfrm>
                      <a:off x="0" y="0"/>
                      <a:ext cx="3811771" cy="1505650"/>
                    </a:xfrm>
                    <a:prstGeom prst="rect">
                      <a:avLst/>
                    </a:prstGeom>
                  </pic:spPr>
                </pic:pic>
              </a:graphicData>
            </a:graphic>
          </wp:inline>
        </w:drawing>
      </w:r>
    </w:p>
    <w:p w:rsidR="00E2557A" w:rsidRDefault="00EA78E5">
      <w:pPr>
        <w:spacing w:after="504" w:line="293" w:lineRule="auto"/>
        <w:ind w:left="34"/>
        <w:jc w:val="center"/>
      </w:pPr>
      <w:r>
        <w:rPr>
          <w:sz w:val="21"/>
        </w:rPr>
        <w:t>Asset managers' US credit holdings (click for full view)</w:t>
      </w:r>
    </w:p>
    <w:p w:rsidR="00E2557A" w:rsidRDefault="00EA78E5">
      <w:pPr>
        <w:ind w:left="-5"/>
      </w:pPr>
      <w:r>
        <w:t>“A handful of guys are calling the shots on market moves,” said Thuin. “The big players are so big now that they are basically driving the market.” This creates uncertainty for the invest</w:t>
      </w:r>
      <w:r>
        <w:t xml:space="preserve">or and could make tactical allocations hazardous, argued </w:t>
      </w:r>
      <w:proofErr w:type="spellStart"/>
      <w:r>
        <w:t>Tobam</w:t>
      </w:r>
      <w:proofErr w:type="spellEnd"/>
      <w:r>
        <w:t xml:space="preserve"> in its research.</w:t>
      </w:r>
    </w:p>
    <w:p w:rsidR="00E2557A" w:rsidRDefault="00EA78E5">
      <w:pPr>
        <w:spacing w:after="420"/>
        <w:ind w:left="-5"/>
      </w:pPr>
      <w:r>
        <w:t xml:space="preserve">The trend for consolidation in the asset management industry – consider the three big mergers in the past year alone to form Aberdeen Standard, </w:t>
      </w:r>
      <w:proofErr w:type="spellStart"/>
      <w:r>
        <w:t>Amundi</w:t>
      </w:r>
      <w:proofErr w:type="spellEnd"/>
      <w:r>
        <w:t xml:space="preserve"> Pioneer and Janus Henders</w:t>
      </w:r>
      <w:r>
        <w:t>on – is only like to exacerbate this issue.</w:t>
      </w:r>
    </w:p>
    <w:p w:rsidR="00E2557A" w:rsidRDefault="00EA78E5">
      <w:pPr>
        <w:spacing w:after="56"/>
        <w:ind w:left="-5"/>
      </w:pPr>
      <w:r>
        <w:t>Source: ¬ Haymarket Media Limited. All rights reserved.</w:t>
      </w:r>
    </w:p>
    <w:p w:rsidR="00E2557A" w:rsidRDefault="00E2557A">
      <w:pPr>
        <w:spacing w:after="0" w:line="259" w:lineRule="auto"/>
        <w:ind w:left="3534" w:firstLine="0"/>
      </w:pPr>
      <w:bookmarkStart w:id="0" w:name="_GoBack"/>
      <w:bookmarkEnd w:id="0"/>
    </w:p>
    <w:sectPr w:rsidR="00E2557A">
      <w:headerReference w:type="even" r:id="rId9"/>
      <w:headerReference w:type="default" r:id="rId10"/>
      <w:footerReference w:type="even" r:id="rId11"/>
      <w:footerReference w:type="default" r:id="rId12"/>
      <w:headerReference w:type="first" r:id="rId13"/>
      <w:footerReference w:type="first" r:id="rId14"/>
      <w:pgSz w:w="11900" w:h="16840"/>
      <w:pgMar w:top="580" w:right="734" w:bottom="747" w:left="730" w:header="295"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A78E5">
      <w:pPr>
        <w:spacing w:after="0" w:line="240" w:lineRule="auto"/>
      </w:pPr>
      <w:r>
        <w:separator/>
      </w:r>
    </w:p>
  </w:endnote>
  <w:endnote w:type="continuationSeparator" w:id="0">
    <w:p w:rsidR="00000000" w:rsidRDefault="00EA7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57A" w:rsidRDefault="00EA78E5">
    <w:pPr>
      <w:tabs>
        <w:tab w:val="right" w:pos="10436"/>
      </w:tabs>
      <w:spacing w:after="0" w:line="259" w:lineRule="auto"/>
      <w:ind w:left="-210" w:right="-214" w:firstLine="0"/>
    </w:pPr>
    <w:r>
      <w:rPr>
        <w:rFonts w:ascii="Arial" w:eastAsia="Arial" w:hAnsi="Arial" w:cs="Arial"/>
        <w:color w:val="000000"/>
        <w:sz w:val="16"/>
      </w:rPr>
      <w:t>http://www.asianinvestor.net/article/warning-sounded-on-credit-fund-concentration-risks/439192</w:t>
    </w:r>
    <w:r>
      <w:rPr>
        <w:rFonts w:ascii="Arial" w:eastAsia="Arial" w:hAnsi="Arial" w:cs="Arial"/>
        <w:color w:val="000000"/>
        <w:sz w:val="16"/>
      </w:rPr>
      <w:tab/>
    </w:r>
    <w:r>
      <w:fldChar w:fldCharType="begin"/>
    </w:r>
    <w:r>
      <w:instrText xml:space="preserve"> PAGE   \* MERGEFORMAT </w:instrText>
    </w:r>
    <w:r>
      <w:fldChar w:fldCharType="separate"/>
    </w:r>
    <w:r>
      <w:rPr>
        <w:rFonts w:ascii="Arial" w:eastAsia="Arial" w:hAnsi="Arial" w:cs="Arial"/>
        <w:color w:val="000000"/>
        <w:sz w:val="16"/>
      </w:rPr>
      <w:t>1</w:t>
    </w:r>
    <w:r>
      <w:rPr>
        <w:rFonts w:ascii="Arial" w:eastAsia="Arial" w:hAnsi="Arial" w:cs="Arial"/>
        <w:color w:val="000000"/>
        <w:sz w:val="16"/>
      </w:rPr>
      <w:fldChar w:fldCharType="end"/>
    </w:r>
    <w:r>
      <w:rPr>
        <w:rFonts w:ascii="Arial" w:eastAsia="Arial" w:hAnsi="Arial" w:cs="Arial"/>
        <w:color w:val="000000"/>
        <w:sz w:val="16"/>
      </w:rPr>
      <w:t>/11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57A" w:rsidRDefault="00EA78E5">
    <w:pPr>
      <w:tabs>
        <w:tab w:val="right" w:pos="10436"/>
      </w:tabs>
      <w:spacing w:after="0" w:line="259" w:lineRule="auto"/>
      <w:ind w:left="-210" w:right="-214" w:firstLine="0"/>
    </w:pPr>
    <w:r>
      <w:rPr>
        <w:rFonts w:ascii="Arial" w:eastAsia="Arial" w:hAnsi="Arial" w:cs="Arial"/>
        <w:color w:val="000000"/>
        <w:sz w:val="16"/>
      </w:rPr>
      <w:t>http://www.asianinvestor.net/article/warning-sounded-on-credit-fund-concentration-risks/439192</w:t>
    </w:r>
    <w:r>
      <w:rPr>
        <w:rFonts w:ascii="Arial" w:eastAsia="Arial" w:hAnsi="Arial" w:cs="Arial"/>
        <w:color w:val="000000"/>
        <w:sz w:val="16"/>
      </w:rPr>
      <w:tab/>
    </w:r>
    <w:r>
      <w:fldChar w:fldCharType="begin"/>
    </w:r>
    <w:r>
      <w:instrText xml:space="preserve"> PAGE   \* MERGEFORM</w:instrText>
    </w:r>
    <w:r>
      <w:instrText xml:space="preserve">AT </w:instrText>
    </w:r>
    <w:r>
      <w:fldChar w:fldCharType="separate"/>
    </w:r>
    <w:r w:rsidRPr="00EA78E5">
      <w:rPr>
        <w:rFonts w:ascii="Arial" w:eastAsia="Arial" w:hAnsi="Arial" w:cs="Arial"/>
        <w:noProof/>
        <w:color w:val="000000"/>
        <w:sz w:val="16"/>
      </w:rPr>
      <w:t>3</w:t>
    </w:r>
    <w:r>
      <w:rPr>
        <w:rFonts w:ascii="Arial" w:eastAsia="Arial" w:hAnsi="Arial" w:cs="Arial"/>
        <w:color w:val="000000"/>
        <w:sz w:val="16"/>
      </w:rPr>
      <w:fldChar w:fldCharType="end"/>
    </w:r>
    <w:r>
      <w:rPr>
        <w:rFonts w:ascii="Arial" w:eastAsia="Arial" w:hAnsi="Arial" w:cs="Arial"/>
        <w:color w:val="000000"/>
        <w:sz w:val="16"/>
      </w:rPr>
      <w:t>/11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57A" w:rsidRDefault="00EA78E5">
    <w:pPr>
      <w:tabs>
        <w:tab w:val="right" w:pos="10436"/>
      </w:tabs>
      <w:spacing w:after="0" w:line="259" w:lineRule="auto"/>
      <w:ind w:left="-210" w:right="-214" w:firstLine="0"/>
    </w:pPr>
    <w:r>
      <w:rPr>
        <w:rFonts w:ascii="Arial" w:eastAsia="Arial" w:hAnsi="Arial" w:cs="Arial"/>
        <w:color w:val="000000"/>
        <w:sz w:val="16"/>
      </w:rPr>
      <w:t>http://www.asianinvestor.net/article/warning-sounded-on-credit-fund-concentration-risks/439192</w:t>
    </w:r>
    <w:r>
      <w:rPr>
        <w:rFonts w:ascii="Arial" w:eastAsia="Arial" w:hAnsi="Arial" w:cs="Arial"/>
        <w:color w:val="000000"/>
        <w:sz w:val="16"/>
      </w:rPr>
      <w:tab/>
    </w:r>
    <w:r>
      <w:fldChar w:fldCharType="begin"/>
    </w:r>
    <w:r>
      <w:instrText xml:space="preserve"> PAGE   \* MERGEFORMAT </w:instrText>
    </w:r>
    <w:r>
      <w:fldChar w:fldCharType="separate"/>
    </w:r>
    <w:r>
      <w:rPr>
        <w:rFonts w:ascii="Arial" w:eastAsia="Arial" w:hAnsi="Arial" w:cs="Arial"/>
        <w:color w:val="000000"/>
        <w:sz w:val="16"/>
      </w:rPr>
      <w:t>1</w:t>
    </w:r>
    <w:r>
      <w:rPr>
        <w:rFonts w:ascii="Arial" w:eastAsia="Arial" w:hAnsi="Arial" w:cs="Arial"/>
        <w:color w:val="000000"/>
        <w:sz w:val="16"/>
      </w:rPr>
      <w:fldChar w:fldCharType="end"/>
    </w:r>
    <w:r>
      <w:rPr>
        <w:rFonts w:ascii="Arial" w:eastAsia="Arial" w:hAnsi="Arial" w:cs="Arial"/>
        <w:color w:val="000000"/>
        <w:sz w:val="16"/>
      </w:rPr>
      <w:t>/11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A78E5">
      <w:pPr>
        <w:spacing w:after="0" w:line="240" w:lineRule="auto"/>
      </w:pPr>
      <w:r>
        <w:separator/>
      </w:r>
    </w:p>
  </w:footnote>
  <w:footnote w:type="continuationSeparator" w:id="0">
    <w:p w:rsidR="00000000" w:rsidRDefault="00EA7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57A" w:rsidRDefault="00EA78E5">
    <w:pPr>
      <w:tabs>
        <w:tab w:val="center" w:pos="5650"/>
      </w:tabs>
      <w:spacing w:after="0" w:line="259" w:lineRule="auto"/>
      <w:ind w:left="-210" w:firstLine="0"/>
    </w:pPr>
    <w:r>
      <w:rPr>
        <w:rFonts w:ascii="Arial" w:eastAsia="Arial" w:hAnsi="Arial" w:cs="Arial"/>
        <w:color w:val="000000"/>
        <w:sz w:val="16"/>
      </w:rPr>
      <w:t>8/24/2017</w:t>
    </w:r>
    <w:r>
      <w:rPr>
        <w:rFonts w:ascii="Arial" w:eastAsia="Arial" w:hAnsi="Arial" w:cs="Arial"/>
        <w:color w:val="000000"/>
        <w:sz w:val="16"/>
      </w:rPr>
      <w:tab/>
    </w:r>
    <w:r>
      <w:rPr>
        <w:rFonts w:ascii="Arial" w:eastAsia="Arial" w:hAnsi="Arial" w:cs="Arial"/>
        <w:color w:val="000000"/>
        <w:sz w:val="16"/>
      </w:rPr>
      <w:t xml:space="preserve">Warning sounded on credit fund concentration risks | Fund Managers | </w:t>
    </w:r>
    <w:proofErr w:type="spellStart"/>
    <w:r>
      <w:rPr>
        <w:rFonts w:ascii="Arial" w:eastAsia="Arial" w:hAnsi="Arial" w:cs="Arial"/>
        <w:color w:val="000000"/>
        <w:sz w:val="16"/>
      </w:rPr>
      <w:t>AsianInvestor</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57A" w:rsidRDefault="00EA78E5">
    <w:pPr>
      <w:tabs>
        <w:tab w:val="center" w:pos="5650"/>
      </w:tabs>
      <w:spacing w:after="0" w:line="259" w:lineRule="auto"/>
      <w:ind w:left="-210" w:firstLine="0"/>
    </w:pPr>
    <w:r>
      <w:rPr>
        <w:rFonts w:ascii="Arial" w:eastAsia="Arial" w:hAnsi="Arial" w:cs="Arial"/>
        <w:color w:val="000000"/>
        <w:sz w:val="16"/>
      </w:rPr>
      <w:t>8/24/2017</w:t>
    </w:r>
    <w:r>
      <w:rPr>
        <w:rFonts w:ascii="Arial" w:eastAsia="Arial" w:hAnsi="Arial" w:cs="Arial"/>
        <w:color w:val="000000"/>
        <w:sz w:val="16"/>
      </w:rPr>
      <w:tab/>
      <w:t xml:space="preserve">Warning sounded on credit fund concentration risks | Fund Managers | </w:t>
    </w:r>
    <w:proofErr w:type="spellStart"/>
    <w:r>
      <w:rPr>
        <w:rFonts w:ascii="Arial" w:eastAsia="Arial" w:hAnsi="Arial" w:cs="Arial"/>
        <w:color w:val="000000"/>
        <w:sz w:val="16"/>
      </w:rPr>
      <w:t>AsianInvestor</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57A" w:rsidRDefault="00EA78E5">
    <w:pPr>
      <w:tabs>
        <w:tab w:val="center" w:pos="5650"/>
      </w:tabs>
      <w:spacing w:after="0" w:line="259" w:lineRule="auto"/>
      <w:ind w:left="-210" w:firstLine="0"/>
    </w:pPr>
    <w:r>
      <w:rPr>
        <w:rFonts w:ascii="Arial" w:eastAsia="Arial" w:hAnsi="Arial" w:cs="Arial"/>
        <w:color w:val="000000"/>
        <w:sz w:val="16"/>
      </w:rPr>
      <w:t>8/24/2017</w:t>
    </w:r>
    <w:r>
      <w:rPr>
        <w:rFonts w:ascii="Arial" w:eastAsia="Arial" w:hAnsi="Arial" w:cs="Arial"/>
        <w:color w:val="000000"/>
        <w:sz w:val="16"/>
      </w:rPr>
      <w:tab/>
      <w:t xml:space="preserve">Warning sounded on credit fund concentration risks | Fund Managers | </w:t>
    </w:r>
    <w:proofErr w:type="spellStart"/>
    <w:r>
      <w:rPr>
        <w:rFonts w:ascii="Arial" w:eastAsia="Arial" w:hAnsi="Arial" w:cs="Arial"/>
        <w:color w:val="000000"/>
        <w:sz w:val="16"/>
      </w:rPr>
      <w:t>A</w:t>
    </w:r>
    <w:r>
      <w:rPr>
        <w:rFonts w:ascii="Arial" w:eastAsia="Arial" w:hAnsi="Arial" w:cs="Arial"/>
        <w:color w:val="000000"/>
        <w:sz w:val="16"/>
      </w:rPr>
      <w:t>sianInvestor</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57A"/>
    <w:rsid w:val="00D4407B"/>
    <w:rsid w:val="00E2557A"/>
    <w:rsid w:val="00EA78E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75A26"/>
  <w15:docId w15:val="{DCC468B3-F831-4A73-831C-F8B2D1AE2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47" w:line="307" w:lineRule="auto"/>
      <w:ind w:left="10" w:hanging="10"/>
    </w:pPr>
    <w:rPr>
      <w:rFonts w:ascii="Calibri" w:eastAsia="Calibri" w:hAnsi="Calibri" w:cs="Calibri"/>
      <w:color w:val="414141"/>
      <w:sz w:val="24"/>
    </w:rPr>
  </w:style>
  <w:style w:type="paragraph" w:styleId="Heading1">
    <w:name w:val="heading 1"/>
    <w:next w:val="Normal"/>
    <w:link w:val="Heading1Char"/>
    <w:uiPriority w:val="9"/>
    <w:unhideWhenUsed/>
    <w:qFormat/>
    <w:pPr>
      <w:keepNext/>
      <w:keepLines/>
      <w:spacing w:after="0" w:line="246" w:lineRule="auto"/>
      <w:outlineLvl w:val="0"/>
    </w:pPr>
    <w:rPr>
      <w:rFonts w:ascii="Calibri" w:eastAsia="Calibri" w:hAnsi="Calibri" w:cs="Calibri"/>
      <w:color w:val="414141"/>
      <w:sz w:val="48"/>
    </w:rPr>
  </w:style>
  <w:style w:type="paragraph" w:styleId="Heading2">
    <w:name w:val="heading 2"/>
    <w:next w:val="Normal"/>
    <w:link w:val="Heading2Char"/>
    <w:uiPriority w:val="9"/>
    <w:unhideWhenUsed/>
    <w:qFormat/>
    <w:pPr>
      <w:keepNext/>
      <w:keepLines/>
      <w:spacing w:after="543"/>
      <w:outlineLvl w:val="1"/>
    </w:pPr>
    <w:rPr>
      <w:rFonts w:ascii="Calibri" w:eastAsia="Calibri" w:hAnsi="Calibri" w:cs="Calibri"/>
      <w:color w:val="3C3C3C"/>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3C3C3C"/>
      <w:sz w:val="18"/>
    </w:rPr>
  </w:style>
  <w:style w:type="character" w:customStyle="1" w:styleId="Heading1Char">
    <w:name w:val="Heading 1 Char"/>
    <w:link w:val="Heading1"/>
    <w:rPr>
      <w:rFonts w:ascii="Calibri" w:eastAsia="Calibri" w:hAnsi="Calibri" w:cs="Calibri"/>
      <w:color w:val="414141"/>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695</Words>
  <Characters>3966</Characters>
  <Application>Microsoft Office Word</Application>
  <DocSecurity>0</DocSecurity>
  <Lines>33</Lines>
  <Paragraphs>9</Paragraphs>
  <ScaleCrop>false</ScaleCrop>
  <Company>Tobam</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Hurley</dc:creator>
  <cp:keywords/>
  <cp:lastModifiedBy>Peter Hurley</cp:lastModifiedBy>
  <cp:revision>3</cp:revision>
  <dcterms:created xsi:type="dcterms:W3CDTF">2017-08-25T14:09:00Z</dcterms:created>
  <dcterms:modified xsi:type="dcterms:W3CDTF">2017-08-25T14:09:00Z</dcterms:modified>
</cp:coreProperties>
</file>